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251" w:rsidRPr="00196251" w:rsidRDefault="00196251" w:rsidP="00196251">
      <w:pPr>
        <w:spacing w:after="0" w:line="240" w:lineRule="auto"/>
        <w:rPr>
          <w:rFonts w:ascii="Times New Roman" w:eastAsia="Times New Roman" w:hAnsi="Times New Roman" w:cs="Times New Roman"/>
          <w:sz w:val="24"/>
          <w:szCs w:val="24"/>
        </w:rPr>
      </w:pPr>
      <w:r w:rsidRPr="00196251">
        <w:rPr>
          <w:rFonts w:ascii="Arial" w:eastAsia="Times New Roman" w:hAnsi="Arial" w:cs="Arial"/>
          <w:color w:val="000000"/>
          <w:sz w:val="24"/>
          <w:szCs w:val="24"/>
        </w:rPr>
        <w:t>High quality global journalism requires investment. Please share this article with others using the link below, do not cut &amp; paste the article. See our </w:t>
      </w:r>
      <w:hyperlink r:id="rId6" w:history="1">
        <w:r w:rsidRPr="00196251">
          <w:rPr>
            <w:rFonts w:ascii="Arial" w:eastAsia="Times New Roman" w:hAnsi="Arial" w:cs="Arial"/>
            <w:color w:val="2E6E9E"/>
            <w:sz w:val="24"/>
            <w:szCs w:val="24"/>
            <w:u w:val="single"/>
          </w:rPr>
          <w:t>Ts&amp;Cs</w:t>
        </w:r>
      </w:hyperlink>
      <w:r w:rsidRPr="00196251">
        <w:rPr>
          <w:rFonts w:ascii="Arial" w:eastAsia="Times New Roman" w:hAnsi="Arial" w:cs="Arial"/>
          <w:color w:val="000000"/>
          <w:sz w:val="24"/>
          <w:szCs w:val="24"/>
        </w:rPr>
        <w:t> and </w:t>
      </w:r>
      <w:hyperlink r:id="rId7" w:history="1">
        <w:r w:rsidRPr="00196251">
          <w:rPr>
            <w:rFonts w:ascii="Arial" w:eastAsia="Times New Roman" w:hAnsi="Arial" w:cs="Arial"/>
            <w:color w:val="2E6E9E"/>
            <w:sz w:val="24"/>
            <w:szCs w:val="24"/>
            <w:u w:val="single"/>
          </w:rPr>
          <w:t>Copyright Policy</w:t>
        </w:r>
      </w:hyperlink>
      <w:r w:rsidRPr="00196251">
        <w:rPr>
          <w:rFonts w:ascii="Arial" w:eastAsia="Times New Roman" w:hAnsi="Arial" w:cs="Arial"/>
          <w:color w:val="000000"/>
          <w:sz w:val="24"/>
          <w:szCs w:val="24"/>
        </w:rPr>
        <w:t> for more detail. Email </w:t>
      </w:r>
      <w:hyperlink r:id="rId8" w:history="1">
        <w:r w:rsidRPr="00196251">
          <w:rPr>
            <w:rFonts w:ascii="Arial" w:eastAsia="Times New Roman" w:hAnsi="Arial" w:cs="Arial"/>
            <w:color w:val="2E6E9E"/>
            <w:sz w:val="24"/>
            <w:szCs w:val="24"/>
            <w:u w:val="single"/>
          </w:rPr>
          <w:t>ftsales.support@ft.com</w:t>
        </w:r>
      </w:hyperlink>
      <w:r w:rsidRPr="00196251">
        <w:rPr>
          <w:rFonts w:ascii="Arial" w:eastAsia="Times New Roman" w:hAnsi="Arial" w:cs="Arial"/>
          <w:color w:val="000000"/>
          <w:sz w:val="24"/>
          <w:szCs w:val="24"/>
        </w:rPr>
        <w:t> to buy additional rights. </w:t>
      </w:r>
      <w:hyperlink r:id="rId9" w:anchor="ixzz3f6WwG86Y" w:history="1">
        <w:r w:rsidRPr="00196251">
          <w:rPr>
            <w:rFonts w:ascii="Arial" w:eastAsia="Times New Roman" w:hAnsi="Arial" w:cs="Arial"/>
            <w:color w:val="003399"/>
            <w:sz w:val="24"/>
            <w:szCs w:val="24"/>
            <w:u w:val="single"/>
          </w:rPr>
          <w:t>http://www.ft.com/cms/s/0/fc8c8ade-21d2-11e5-aa5a-398b2169cf79.html#ixzz3f6WwG86Y</w:t>
        </w:r>
      </w:hyperlink>
      <w:r w:rsidRPr="00196251">
        <w:rPr>
          <w:rFonts w:ascii="Arial" w:eastAsia="Times New Roman" w:hAnsi="Arial" w:cs="Arial"/>
          <w:color w:val="000000"/>
          <w:sz w:val="24"/>
          <w:szCs w:val="24"/>
        </w:rPr>
        <w:br/>
      </w:r>
      <w:r w:rsidRPr="00196251">
        <w:rPr>
          <w:rFonts w:ascii="Arial" w:eastAsia="Times New Roman" w:hAnsi="Arial" w:cs="Arial"/>
          <w:color w:val="000000"/>
          <w:sz w:val="24"/>
          <w:szCs w:val="24"/>
        </w:rPr>
        <w:br/>
      </w:r>
    </w:p>
    <w:p w:rsidR="00196251" w:rsidRPr="00196251" w:rsidRDefault="00196251" w:rsidP="00196251">
      <w:pPr>
        <w:spacing w:after="75" w:line="270" w:lineRule="atLeast"/>
        <w:rPr>
          <w:rFonts w:ascii="Arial" w:eastAsia="Times New Roman" w:hAnsi="Arial" w:cs="Arial"/>
          <w:color w:val="777777"/>
          <w:sz w:val="18"/>
          <w:szCs w:val="18"/>
        </w:rPr>
      </w:pPr>
      <w:r w:rsidRPr="00196251">
        <w:rPr>
          <w:rFonts w:ascii="Arial" w:eastAsia="Times New Roman" w:hAnsi="Arial" w:cs="Arial"/>
          <w:color w:val="777777"/>
          <w:sz w:val="18"/>
          <w:szCs w:val="18"/>
        </w:rPr>
        <w:t>July 5, 2015 2:36 pm</w:t>
      </w:r>
    </w:p>
    <w:p w:rsidR="00196251" w:rsidRPr="00196251" w:rsidRDefault="00196251" w:rsidP="00196251">
      <w:pPr>
        <w:spacing w:after="0" w:line="540" w:lineRule="atLeast"/>
        <w:ind w:right="4200"/>
        <w:outlineLvl w:val="0"/>
        <w:rPr>
          <w:rFonts w:ascii="Georgia" w:eastAsia="Times New Roman" w:hAnsi="Georgia" w:cs="Times New Roman"/>
          <w:color w:val="000000"/>
          <w:kern w:val="36"/>
          <w:sz w:val="48"/>
          <w:szCs w:val="48"/>
        </w:rPr>
      </w:pPr>
      <w:r w:rsidRPr="00196251">
        <w:rPr>
          <w:rFonts w:ascii="Georgia" w:eastAsia="Times New Roman" w:hAnsi="Georgia" w:cs="Times New Roman"/>
          <w:color w:val="000000"/>
          <w:kern w:val="36"/>
          <w:sz w:val="48"/>
          <w:szCs w:val="48"/>
        </w:rPr>
        <w:t xml:space="preserve">Brazil to ease </w:t>
      </w:r>
      <w:proofErr w:type="spellStart"/>
      <w:r w:rsidRPr="00196251">
        <w:rPr>
          <w:rFonts w:ascii="Georgia" w:eastAsia="Times New Roman" w:hAnsi="Georgia" w:cs="Times New Roman"/>
          <w:color w:val="000000"/>
          <w:kern w:val="36"/>
          <w:sz w:val="48"/>
          <w:szCs w:val="48"/>
        </w:rPr>
        <w:t>Petrobras</w:t>
      </w:r>
      <w:proofErr w:type="spellEnd"/>
      <w:r w:rsidRPr="00196251">
        <w:rPr>
          <w:rFonts w:ascii="Georgia" w:eastAsia="Times New Roman" w:hAnsi="Georgia" w:cs="Times New Roman"/>
          <w:color w:val="000000"/>
          <w:kern w:val="36"/>
          <w:sz w:val="48"/>
          <w:szCs w:val="48"/>
        </w:rPr>
        <w:t xml:space="preserve"> pressure with offshore oil bill</w:t>
      </w:r>
    </w:p>
    <w:p w:rsidR="00196251" w:rsidRPr="00196251" w:rsidRDefault="00196251" w:rsidP="00196251">
      <w:pPr>
        <w:spacing w:before="120" w:after="330" w:line="270" w:lineRule="atLeast"/>
        <w:rPr>
          <w:rFonts w:ascii="Arial" w:eastAsia="Times New Roman" w:hAnsi="Arial" w:cs="Arial"/>
          <w:color w:val="000000"/>
          <w:sz w:val="21"/>
          <w:szCs w:val="21"/>
        </w:rPr>
      </w:pPr>
      <w:r w:rsidRPr="00196251">
        <w:rPr>
          <w:rFonts w:ascii="Arial" w:eastAsia="Times New Roman" w:hAnsi="Arial" w:cs="Arial"/>
          <w:color w:val="000000"/>
          <w:sz w:val="21"/>
          <w:szCs w:val="21"/>
        </w:rPr>
        <w:t>Joe Leahy in São Paulo</w:t>
      </w:r>
    </w:p>
    <w:p w:rsidR="00196251" w:rsidRPr="00196251" w:rsidRDefault="00196251" w:rsidP="00196251">
      <w:pPr>
        <w:numPr>
          <w:ilvl w:val="0"/>
          <w:numId w:val="1"/>
        </w:numPr>
        <w:spacing w:after="0" w:line="330" w:lineRule="atLeast"/>
        <w:ind w:left="0" w:right="210"/>
        <w:rPr>
          <w:rFonts w:ascii="Georgia" w:eastAsia="Times New Roman" w:hAnsi="Georgia" w:cs="Times New Roman"/>
          <w:color w:val="000000"/>
          <w:sz w:val="24"/>
          <w:szCs w:val="24"/>
        </w:rPr>
      </w:pPr>
      <w:hyperlink r:id="rId10" w:history="1">
        <w:r w:rsidRPr="00196251">
          <w:rPr>
            <w:rFonts w:ascii="Arial" w:eastAsia="Times New Roman" w:hAnsi="Arial" w:cs="Arial"/>
            <w:color w:val="2E6E9E"/>
            <w:sz w:val="24"/>
            <w:szCs w:val="24"/>
          </w:rPr>
          <w:t> </w:t>
        </w:r>
        <w:r w:rsidRPr="00196251">
          <w:rPr>
            <w:rFonts w:ascii="Arial" w:eastAsia="Times New Roman" w:hAnsi="Arial" w:cs="Arial"/>
            <w:color w:val="2E6E9E"/>
            <w:sz w:val="18"/>
            <w:szCs w:val="18"/>
            <w:u w:val="single"/>
          </w:rPr>
          <w:t>Share</w:t>
        </w:r>
      </w:hyperlink>
    </w:p>
    <w:p w:rsidR="00196251" w:rsidRPr="00196251" w:rsidRDefault="00196251" w:rsidP="00196251">
      <w:pPr>
        <w:numPr>
          <w:ilvl w:val="0"/>
          <w:numId w:val="1"/>
        </w:numPr>
        <w:spacing w:after="0" w:line="240" w:lineRule="atLeast"/>
        <w:ind w:left="0" w:right="210"/>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Author alerts</w:t>
      </w:r>
    </w:p>
    <w:p w:rsidR="00196251" w:rsidRPr="00196251" w:rsidRDefault="00196251" w:rsidP="00196251">
      <w:pPr>
        <w:numPr>
          <w:ilvl w:val="0"/>
          <w:numId w:val="1"/>
        </w:numPr>
        <w:spacing w:after="0" w:line="330" w:lineRule="atLeast"/>
        <w:ind w:left="0" w:right="210"/>
        <w:rPr>
          <w:rFonts w:ascii="Georgia" w:eastAsia="Times New Roman" w:hAnsi="Georgia" w:cs="Times New Roman"/>
          <w:color w:val="000000"/>
          <w:sz w:val="24"/>
          <w:szCs w:val="24"/>
        </w:rPr>
      </w:pPr>
      <w:hyperlink r:id="rId11" w:history="1">
        <w:r w:rsidRPr="00196251">
          <w:rPr>
            <w:rFonts w:ascii="Arial" w:eastAsia="Times New Roman" w:hAnsi="Arial" w:cs="Arial"/>
            <w:color w:val="2E6E9E"/>
            <w:sz w:val="24"/>
            <w:szCs w:val="24"/>
          </w:rPr>
          <w:t> </w:t>
        </w:r>
        <w:r w:rsidRPr="00196251">
          <w:rPr>
            <w:rFonts w:ascii="Arial" w:eastAsia="Times New Roman" w:hAnsi="Arial" w:cs="Arial"/>
            <w:color w:val="2E6E9E"/>
            <w:sz w:val="18"/>
            <w:szCs w:val="18"/>
            <w:u w:val="single"/>
          </w:rPr>
          <w:t>Print</w:t>
        </w:r>
      </w:hyperlink>
    </w:p>
    <w:p w:rsidR="00196251" w:rsidRPr="00196251" w:rsidRDefault="00196251" w:rsidP="00196251">
      <w:pPr>
        <w:numPr>
          <w:ilvl w:val="0"/>
          <w:numId w:val="1"/>
        </w:numPr>
        <w:spacing w:after="0" w:line="330" w:lineRule="atLeast"/>
        <w:ind w:left="0" w:right="210"/>
        <w:rPr>
          <w:rFonts w:ascii="Georgia" w:eastAsia="Times New Roman" w:hAnsi="Georgia" w:cs="Times New Roman"/>
          <w:color w:val="000000"/>
          <w:sz w:val="24"/>
          <w:szCs w:val="24"/>
        </w:rPr>
      </w:pPr>
      <w:hyperlink r:id="rId12" w:history="1">
        <w:r w:rsidRPr="00196251">
          <w:rPr>
            <w:rFonts w:ascii="Arial" w:eastAsia="Times New Roman" w:hAnsi="Arial" w:cs="Arial"/>
            <w:color w:val="2E6E9E"/>
            <w:sz w:val="18"/>
            <w:szCs w:val="18"/>
            <w:u w:val="single"/>
          </w:rPr>
          <w:t>Clip</w:t>
        </w:r>
      </w:hyperlink>
    </w:p>
    <w:p w:rsidR="00196251" w:rsidRPr="00196251" w:rsidRDefault="00196251" w:rsidP="00196251">
      <w:pPr>
        <w:numPr>
          <w:ilvl w:val="0"/>
          <w:numId w:val="1"/>
        </w:numPr>
        <w:spacing w:after="0" w:line="330" w:lineRule="atLeast"/>
        <w:ind w:left="0"/>
        <w:rPr>
          <w:rFonts w:ascii="Georgia" w:eastAsia="Times New Roman" w:hAnsi="Georgia" w:cs="Times New Roman"/>
          <w:color w:val="000000"/>
          <w:sz w:val="24"/>
          <w:szCs w:val="24"/>
        </w:rPr>
      </w:pPr>
      <w:hyperlink r:id="rId13" w:anchor="ft-article-comments" w:history="1">
        <w:r w:rsidRPr="00196251">
          <w:rPr>
            <w:rFonts w:ascii="Arial" w:eastAsia="Times New Roman" w:hAnsi="Arial" w:cs="Arial"/>
            <w:color w:val="2E6E9E"/>
            <w:sz w:val="24"/>
            <w:szCs w:val="24"/>
          </w:rPr>
          <w:t> </w:t>
        </w:r>
        <w:r w:rsidRPr="00196251">
          <w:rPr>
            <w:rFonts w:ascii="Arial" w:eastAsia="Times New Roman" w:hAnsi="Arial" w:cs="Arial"/>
            <w:color w:val="2E6E9E"/>
            <w:sz w:val="18"/>
            <w:szCs w:val="18"/>
            <w:u w:val="single"/>
          </w:rPr>
          <w:t>Comments</w:t>
        </w:r>
      </w:hyperlink>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noProof/>
          <w:color w:val="000000"/>
          <w:sz w:val="24"/>
          <w:szCs w:val="24"/>
        </w:rPr>
        <w:drawing>
          <wp:inline distT="0" distB="0" distL="0" distR="0" wp14:anchorId="67F06EE0" wp14:editId="0DDA64F7">
            <wp:extent cx="2590800" cy="1456690"/>
            <wp:effectExtent l="0" t="0" r="0" b="0"/>
            <wp:docPr id="1" name="Picture 1" descr="An employee works on the final stage of the construction of the new P-56 semi-submersible production platform for the oil company Petrobas at the Brasfels shipyard in Angra dos Reis, about 115 miles (184 km) west of Rio de Janeiro, February 24, 2011. The P-56 will be positioned at depths of 1,700 meters (1.05 miles) and about 124 km (77 miles) off the coast. It will have a processing capacity of 100,000 barrels of oil and 5.2 million m3 of natural gas per day, said the Petrobras company. REUTERS/Sergio Moraes (BRAZIL - Tags: ENERGY BUSINESS) - RTR2J2H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 employee works on the final stage of the construction of the new P-56 semi-submersible production platform for the oil company Petrobas at the Brasfels shipyard in Angra dos Reis, about 115 miles (184 km) west of Rio de Janeiro, February 24, 2011. The P-56 will be positioned at depths of 1,700 meters (1.05 miles) and about 124 km (77 miles) off the coast. It will have a processing capacity of 100,000 barrels of oil and 5.2 million m3 of natural gas per day, said the Petrobras company. REUTERS/Sergio Moraes (BRAZIL - Tags: ENERGY BUSINESS) - RTR2J2H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90800" cy="1456690"/>
                    </a:xfrm>
                    <a:prstGeom prst="rect">
                      <a:avLst/>
                    </a:prstGeom>
                    <a:noFill/>
                    <a:ln>
                      <a:noFill/>
                    </a:ln>
                  </pic:spPr>
                </pic:pic>
              </a:graphicData>
            </a:graphic>
          </wp:inline>
        </w:drawing>
      </w:r>
      <w:hyperlink r:id="rId15" w:history="1">
        <w:r w:rsidRPr="00196251">
          <w:rPr>
            <w:rFonts w:ascii="Arial" w:eastAsia="Times New Roman" w:hAnsi="Arial" w:cs="Arial"/>
            <w:color w:val="DFDED8"/>
            <w:sz w:val="14"/>
            <w:szCs w:val="14"/>
            <w:u w:val="single"/>
          </w:rPr>
          <w:t>©Reuters</w:t>
        </w:r>
      </w:hyperlink>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Brazil’s congress is likely to pass a landmark bill that could ease financial pressure on state-controlled oil company </w:t>
      </w:r>
      <w:proofErr w:type="spellStart"/>
      <w:r w:rsidRPr="00196251">
        <w:rPr>
          <w:rFonts w:ascii="Georgia" w:eastAsia="Times New Roman" w:hAnsi="Georgia" w:cs="Times New Roman"/>
          <w:color w:val="000000"/>
          <w:sz w:val="24"/>
          <w:szCs w:val="24"/>
        </w:rPr>
        <w:fldChar w:fldCharType="begin"/>
      </w:r>
      <w:r w:rsidRPr="00196251">
        <w:rPr>
          <w:rFonts w:ascii="Georgia" w:eastAsia="Times New Roman" w:hAnsi="Georgia" w:cs="Times New Roman"/>
          <w:color w:val="000000"/>
          <w:sz w:val="24"/>
          <w:szCs w:val="24"/>
        </w:rPr>
        <w:instrText xml:space="preserve"> HYPERLINK "http://markets.ft.com/tearsheets/performance.asp?s=br:PETR4" </w:instrText>
      </w:r>
      <w:r w:rsidRPr="00196251">
        <w:rPr>
          <w:rFonts w:ascii="Georgia" w:eastAsia="Times New Roman" w:hAnsi="Georgia" w:cs="Times New Roman"/>
          <w:color w:val="000000"/>
          <w:sz w:val="24"/>
          <w:szCs w:val="24"/>
        </w:rPr>
        <w:fldChar w:fldCharType="separate"/>
      </w:r>
      <w:r w:rsidRPr="00196251">
        <w:rPr>
          <w:rFonts w:ascii="Georgia" w:eastAsia="Times New Roman" w:hAnsi="Georgia" w:cs="Times New Roman"/>
          <w:color w:val="2E6E9E"/>
          <w:sz w:val="24"/>
          <w:szCs w:val="24"/>
          <w:u w:val="single"/>
        </w:rPr>
        <w:t>Petrobras</w:t>
      </w:r>
      <w:proofErr w:type="spellEnd"/>
      <w:r w:rsidRPr="00196251">
        <w:rPr>
          <w:rFonts w:ascii="Georgia" w:eastAsia="Times New Roman" w:hAnsi="Georgia" w:cs="Times New Roman"/>
          <w:color w:val="000000"/>
          <w:sz w:val="24"/>
          <w:szCs w:val="24"/>
        </w:rPr>
        <w:fldChar w:fldCharType="end"/>
      </w:r>
      <w:r w:rsidRPr="00196251">
        <w:rPr>
          <w:rFonts w:ascii="Georgia" w:eastAsia="Times New Roman" w:hAnsi="Georgia" w:cs="Times New Roman"/>
          <w:color w:val="000000"/>
          <w:sz w:val="24"/>
          <w:szCs w:val="24"/>
        </w:rPr>
        <w:t> by opening the country’s biggest offshore oil discoveries to greater foreign and private investment</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The changes would remove </w:t>
      </w:r>
      <w:proofErr w:type="spellStart"/>
      <w:r w:rsidRPr="00196251">
        <w:rPr>
          <w:rFonts w:ascii="Georgia" w:eastAsia="Times New Roman" w:hAnsi="Georgia" w:cs="Times New Roman"/>
          <w:color w:val="000000"/>
          <w:sz w:val="24"/>
          <w:szCs w:val="24"/>
        </w:rPr>
        <w:t>Petrobras’s</w:t>
      </w:r>
      <w:proofErr w:type="spellEnd"/>
      <w:r w:rsidRPr="00196251">
        <w:rPr>
          <w:rFonts w:ascii="Georgia" w:eastAsia="Times New Roman" w:hAnsi="Georgia" w:cs="Times New Roman"/>
          <w:color w:val="000000"/>
          <w:sz w:val="24"/>
          <w:szCs w:val="24"/>
        </w:rPr>
        <w:t xml:space="preserve"> obligation to be the sole operator of the fields, known as the </w:t>
      </w:r>
      <w:hyperlink r:id="rId16" w:tooltip="Petrobras faces challenges to reap rewards of pre-salt reserves - FT.com" w:history="1">
        <w:r w:rsidRPr="00196251">
          <w:rPr>
            <w:rFonts w:ascii="Georgia" w:eastAsia="Times New Roman" w:hAnsi="Georgia" w:cs="Times New Roman"/>
            <w:color w:val="2E6E9E"/>
            <w:sz w:val="24"/>
            <w:szCs w:val="24"/>
            <w:u w:val="single"/>
          </w:rPr>
          <w:t>pre-salt</w:t>
        </w:r>
        <w:r w:rsidRPr="00196251">
          <w:rPr>
            <w:rFonts w:ascii="Georgia" w:eastAsia="Times New Roman" w:hAnsi="Georgia" w:cs="Times New Roman"/>
            <w:color w:val="2E6E9E"/>
            <w:sz w:val="24"/>
            <w:szCs w:val="24"/>
          </w:rPr>
          <w:t> </w:t>
        </w:r>
      </w:hyperlink>
      <w:r w:rsidRPr="00196251">
        <w:rPr>
          <w:rFonts w:ascii="Georgia" w:eastAsia="Times New Roman" w:hAnsi="Georgia" w:cs="Times New Roman"/>
          <w:color w:val="000000"/>
          <w:sz w:val="24"/>
          <w:szCs w:val="24"/>
        </w:rPr>
        <w:t>because they are covered by a layer of the compound, a rule that had overstretched the company, said José Serra, the senator who presented the bill to congress.</w:t>
      </w:r>
    </w:p>
    <w:p w:rsidR="00196251" w:rsidRPr="00196251" w:rsidRDefault="00196251" w:rsidP="00196251">
      <w:pPr>
        <w:numPr>
          <w:ilvl w:val="0"/>
          <w:numId w:val="2"/>
        </w:numPr>
        <w:spacing w:after="0" w:line="330" w:lineRule="atLeast"/>
        <w:ind w:left="0" w:right="810"/>
        <w:rPr>
          <w:rFonts w:ascii="Georgia" w:eastAsia="Times New Roman" w:hAnsi="Georgia" w:cs="Times New Roman"/>
          <w:color w:val="000000"/>
          <w:sz w:val="24"/>
          <w:szCs w:val="24"/>
        </w:rPr>
      </w:pPr>
    </w:p>
    <w:p w:rsidR="00196251" w:rsidRPr="00196251" w:rsidRDefault="00196251" w:rsidP="00196251">
      <w:pPr>
        <w:numPr>
          <w:ilvl w:val="0"/>
          <w:numId w:val="2"/>
        </w:numPr>
        <w:spacing w:after="0" w:line="330" w:lineRule="atLeast"/>
        <w:ind w:left="0" w:right="810"/>
        <w:rPr>
          <w:rFonts w:ascii="Georgia" w:eastAsia="Times New Roman" w:hAnsi="Georgia" w:cs="Times New Roman"/>
          <w:color w:val="000000"/>
          <w:sz w:val="24"/>
          <w:szCs w:val="24"/>
        </w:rPr>
      </w:pPr>
    </w:p>
    <w:p w:rsidR="00196251" w:rsidRPr="00196251" w:rsidRDefault="00196251" w:rsidP="00196251">
      <w:pPr>
        <w:numPr>
          <w:ilvl w:val="0"/>
          <w:numId w:val="2"/>
        </w:numPr>
        <w:spacing w:after="0" w:line="330" w:lineRule="atLeast"/>
        <w:ind w:left="0" w:right="810"/>
        <w:rPr>
          <w:rFonts w:ascii="Georgia" w:eastAsia="Times New Roman" w:hAnsi="Georgia" w:cs="Times New Roman"/>
          <w:color w:val="000000"/>
          <w:sz w:val="24"/>
          <w:szCs w:val="24"/>
        </w:rPr>
      </w:pPr>
    </w:p>
    <w:p w:rsidR="00196251" w:rsidRPr="00196251" w:rsidRDefault="00196251" w:rsidP="00196251">
      <w:pPr>
        <w:numPr>
          <w:ilvl w:val="0"/>
          <w:numId w:val="2"/>
        </w:numPr>
        <w:spacing w:after="0" w:line="330" w:lineRule="atLeast"/>
        <w:ind w:left="0"/>
        <w:rPr>
          <w:rFonts w:ascii="Georgia" w:eastAsia="Times New Roman" w:hAnsi="Georgia" w:cs="Times New Roman"/>
          <w:color w:val="000000"/>
          <w:sz w:val="24"/>
          <w:szCs w:val="24"/>
        </w:rPr>
      </w:pPr>
    </w:p>
    <w:p w:rsidR="00196251" w:rsidRPr="00196251" w:rsidRDefault="00196251" w:rsidP="00196251">
      <w:pPr>
        <w:spacing w:after="75" w:line="195" w:lineRule="atLeast"/>
        <w:outlineLvl w:val="2"/>
        <w:rPr>
          <w:rFonts w:ascii="Helvetica" w:eastAsia="Times New Roman" w:hAnsi="Helvetica" w:cs="Helvetica"/>
          <w:b/>
          <w:bCs/>
          <w:color w:val="333333"/>
          <w:sz w:val="20"/>
          <w:szCs w:val="20"/>
        </w:rPr>
      </w:pPr>
      <w:r w:rsidRPr="00196251">
        <w:rPr>
          <w:rFonts w:ascii="Helvetica" w:eastAsia="Times New Roman" w:hAnsi="Helvetica" w:cs="Helvetica"/>
          <w:b/>
          <w:bCs/>
          <w:color w:val="333333"/>
          <w:sz w:val="20"/>
          <w:szCs w:val="20"/>
        </w:rPr>
        <w:t>More</w:t>
      </w:r>
    </w:p>
    <w:p w:rsidR="00196251" w:rsidRPr="00196251" w:rsidRDefault="00196251" w:rsidP="00196251">
      <w:pPr>
        <w:spacing w:before="150" w:after="45" w:line="330" w:lineRule="atLeast"/>
        <w:outlineLvl w:val="3"/>
        <w:rPr>
          <w:rFonts w:ascii="Arial" w:eastAsia="Times New Roman" w:hAnsi="Arial" w:cs="Arial"/>
          <w:b/>
          <w:bCs/>
          <w:caps/>
          <w:color w:val="000000"/>
          <w:sz w:val="15"/>
          <w:szCs w:val="15"/>
        </w:rPr>
      </w:pPr>
      <w:r w:rsidRPr="00196251">
        <w:rPr>
          <w:rFonts w:ascii="Arial" w:eastAsia="Times New Roman" w:hAnsi="Arial" w:cs="Arial"/>
          <w:b/>
          <w:bCs/>
          <w:caps/>
          <w:color w:val="000000"/>
          <w:sz w:val="15"/>
          <w:szCs w:val="15"/>
        </w:rPr>
        <w:t>ON THIS TOPIC</w:t>
      </w:r>
    </w:p>
    <w:p w:rsidR="00196251" w:rsidRPr="00196251" w:rsidRDefault="00196251" w:rsidP="00196251">
      <w:pPr>
        <w:numPr>
          <w:ilvl w:val="0"/>
          <w:numId w:val="3"/>
        </w:numPr>
        <w:spacing w:after="105" w:line="225" w:lineRule="atLeast"/>
        <w:ind w:left="0"/>
        <w:rPr>
          <w:rFonts w:ascii="Arial" w:eastAsia="Times New Roman" w:hAnsi="Arial" w:cs="Arial"/>
          <w:color w:val="000000"/>
          <w:sz w:val="18"/>
          <w:szCs w:val="18"/>
        </w:rPr>
      </w:pPr>
      <w:hyperlink r:id="rId17" w:history="1">
        <w:proofErr w:type="spellStart"/>
        <w:r w:rsidRPr="00196251">
          <w:rPr>
            <w:rFonts w:ascii="Arial" w:eastAsia="Times New Roman" w:hAnsi="Arial" w:cs="Arial"/>
            <w:color w:val="2E6E9E"/>
            <w:sz w:val="18"/>
            <w:szCs w:val="18"/>
            <w:u w:val="single"/>
          </w:rPr>
          <w:t>Petrobras</w:t>
        </w:r>
        <w:proofErr w:type="spellEnd"/>
        <w:r w:rsidRPr="00196251">
          <w:rPr>
            <w:rFonts w:ascii="Arial" w:eastAsia="Times New Roman" w:hAnsi="Arial" w:cs="Arial"/>
            <w:color w:val="2E6E9E"/>
            <w:sz w:val="18"/>
            <w:szCs w:val="18"/>
            <w:u w:val="single"/>
          </w:rPr>
          <w:t xml:space="preserve"> corruption losses may be larger</w:t>
        </w:r>
      </w:hyperlink>
    </w:p>
    <w:p w:rsidR="00196251" w:rsidRPr="00196251" w:rsidRDefault="00196251" w:rsidP="00196251">
      <w:pPr>
        <w:numPr>
          <w:ilvl w:val="0"/>
          <w:numId w:val="3"/>
        </w:numPr>
        <w:spacing w:after="105" w:line="225" w:lineRule="atLeast"/>
        <w:ind w:left="0"/>
        <w:rPr>
          <w:rFonts w:ascii="Arial" w:eastAsia="Times New Roman" w:hAnsi="Arial" w:cs="Arial"/>
          <w:color w:val="000000"/>
          <w:sz w:val="18"/>
          <w:szCs w:val="18"/>
        </w:rPr>
      </w:pPr>
      <w:r w:rsidRPr="00196251">
        <w:rPr>
          <w:rFonts w:ascii="Arial" w:eastAsia="Times New Roman" w:hAnsi="Arial" w:cs="Arial"/>
          <w:color w:val="000000"/>
          <w:sz w:val="18"/>
          <w:szCs w:val="18"/>
        </w:rPr>
        <w:t>Comment </w:t>
      </w:r>
      <w:proofErr w:type="spellStart"/>
      <w:r w:rsidRPr="00196251">
        <w:rPr>
          <w:rFonts w:ascii="Arial" w:eastAsia="Times New Roman" w:hAnsi="Arial" w:cs="Arial"/>
          <w:color w:val="000000"/>
          <w:sz w:val="18"/>
          <w:szCs w:val="18"/>
        </w:rPr>
        <w:fldChar w:fldCharType="begin"/>
      </w:r>
      <w:r w:rsidRPr="00196251">
        <w:rPr>
          <w:rFonts w:ascii="Arial" w:eastAsia="Times New Roman" w:hAnsi="Arial" w:cs="Arial"/>
          <w:color w:val="000000"/>
          <w:sz w:val="18"/>
          <w:szCs w:val="18"/>
        </w:rPr>
        <w:instrText xml:space="preserve"> HYPERLINK "http://www.ft.com/cms/s/3/990f55c4-2004-11e5-aa5a-398b2169cf79.html" </w:instrText>
      </w:r>
      <w:r w:rsidRPr="00196251">
        <w:rPr>
          <w:rFonts w:ascii="Arial" w:eastAsia="Times New Roman" w:hAnsi="Arial" w:cs="Arial"/>
          <w:color w:val="000000"/>
          <w:sz w:val="18"/>
          <w:szCs w:val="18"/>
        </w:rPr>
        <w:fldChar w:fldCharType="separate"/>
      </w:r>
      <w:r w:rsidRPr="00196251">
        <w:rPr>
          <w:rFonts w:ascii="Arial" w:eastAsia="Times New Roman" w:hAnsi="Arial" w:cs="Arial"/>
          <w:color w:val="2E6E9E"/>
          <w:sz w:val="18"/>
          <w:szCs w:val="18"/>
          <w:u w:val="single"/>
        </w:rPr>
        <w:t>Petrobras</w:t>
      </w:r>
      <w:proofErr w:type="spellEnd"/>
      <w:r w:rsidRPr="00196251">
        <w:rPr>
          <w:rFonts w:ascii="Arial" w:eastAsia="Times New Roman" w:hAnsi="Arial" w:cs="Arial"/>
          <w:color w:val="2E6E9E"/>
          <w:sz w:val="18"/>
          <w:szCs w:val="18"/>
          <w:u w:val="single"/>
        </w:rPr>
        <w:t xml:space="preserve"> — not well</w:t>
      </w:r>
      <w:r w:rsidRPr="00196251">
        <w:rPr>
          <w:rFonts w:ascii="Arial" w:eastAsia="Times New Roman" w:hAnsi="Arial" w:cs="Arial"/>
          <w:color w:val="000000"/>
          <w:sz w:val="18"/>
          <w:szCs w:val="18"/>
        </w:rPr>
        <w:fldChar w:fldCharType="end"/>
      </w:r>
    </w:p>
    <w:p w:rsidR="00196251" w:rsidRPr="00196251" w:rsidRDefault="00196251" w:rsidP="00196251">
      <w:pPr>
        <w:numPr>
          <w:ilvl w:val="0"/>
          <w:numId w:val="3"/>
        </w:numPr>
        <w:spacing w:after="105" w:line="225" w:lineRule="atLeast"/>
        <w:ind w:left="0"/>
        <w:rPr>
          <w:rFonts w:ascii="Arial" w:eastAsia="Times New Roman" w:hAnsi="Arial" w:cs="Arial"/>
          <w:color w:val="000000"/>
          <w:sz w:val="18"/>
          <w:szCs w:val="18"/>
        </w:rPr>
      </w:pPr>
      <w:hyperlink r:id="rId18" w:history="1">
        <w:proofErr w:type="spellStart"/>
        <w:r w:rsidRPr="00196251">
          <w:rPr>
            <w:rFonts w:ascii="Arial" w:eastAsia="Times New Roman" w:hAnsi="Arial" w:cs="Arial"/>
            <w:color w:val="2E6E9E"/>
            <w:sz w:val="18"/>
            <w:szCs w:val="18"/>
            <w:u w:val="single"/>
          </w:rPr>
          <w:t>Petrobras</w:t>
        </w:r>
        <w:proofErr w:type="spellEnd"/>
        <w:r w:rsidRPr="00196251">
          <w:rPr>
            <w:rFonts w:ascii="Arial" w:eastAsia="Times New Roman" w:hAnsi="Arial" w:cs="Arial"/>
            <w:color w:val="2E6E9E"/>
            <w:sz w:val="18"/>
            <w:szCs w:val="18"/>
            <w:u w:val="single"/>
          </w:rPr>
          <w:t xml:space="preserve"> chief pledges investor focus</w:t>
        </w:r>
      </w:hyperlink>
    </w:p>
    <w:p w:rsidR="00196251" w:rsidRPr="00196251" w:rsidRDefault="00196251" w:rsidP="00196251">
      <w:pPr>
        <w:numPr>
          <w:ilvl w:val="0"/>
          <w:numId w:val="3"/>
        </w:numPr>
        <w:spacing w:after="105" w:line="225" w:lineRule="atLeast"/>
        <w:ind w:left="0"/>
        <w:rPr>
          <w:rFonts w:ascii="Arial" w:eastAsia="Times New Roman" w:hAnsi="Arial" w:cs="Arial"/>
          <w:color w:val="000000"/>
          <w:sz w:val="18"/>
          <w:szCs w:val="18"/>
        </w:rPr>
      </w:pPr>
      <w:hyperlink r:id="rId19" w:history="1">
        <w:proofErr w:type="spellStart"/>
        <w:r w:rsidRPr="00196251">
          <w:rPr>
            <w:rFonts w:ascii="Arial" w:eastAsia="Times New Roman" w:hAnsi="Arial" w:cs="Arial"/>
            <w:color w:val="2E6E9E"/>
            <w:sz w:val="18"/>
            <w:szCs w:val="18"/>
            <w:u w:val="single"/>
          </w:rPr>
          <w:t>Petrobras</w:t>
        </w:r>
        <w:proofErr w:type="spellEnd"/>
        <w:r w:rsidRPr="00196251">
          <w:rPr>
            <w:rFonts w:ascii="Arial" w:eastAsia="Times New Roman" w:hAnsi="Arial" w:cs="Arial"/>
            <w:color w:val="2E6E9E"/>
            <w:sz w:val="18"/>
            <w:szCs w:val="18"/>
            <w:u w:val="single"/>
          </w:rPr>
          <w:t xml:space="preserve"> slashes investment to cut debt</w:t>
        </w:r>
      </w:hyperlink>
    </w:p>
    <w:p w:rsidR="00196251" w:rsidRPr="00196251" w:rsidRDefault="00196251" w:rsidP="00196251">
      <w:pPr>
        <w:spacing w:before="150" w:after="45" w:line="330" w:lineRule="atLeast"/>
        <w:outlineLvl w:val="3"/>
        <w:rPr>
          <w:rFonts w:ascii="Arial" w:eastAsia="Times New Roman" w:hAnsi="Arial" w:cs="Arial"/>
          <w:b/>
          <w:bCs/>
          <w:caps/>
          <w:color w:val="000000"/>
          <w:sz w:val="15"/>
          <w:szCs w:val="15"/>
        </w:rPr>
      </w:pPr>
      <w:r w:rsidRPr="00196251">
        <w:rPr>
          <w:rFonts w:ascii="Arial" w:eastAsia="Times New Roman" w:hAnsi="Arial" w:cs="Arial"/>
          <w:b/>
          <w:bCs/>
          <w:caps/>
          <w:color w:val="000000"/>
          <w:sz w:val="15"/>
          <w:szCs w:val="15"/>
        </w:rPr>
        <w:t>IN OIL &amp; GAS</w:t>
      </w:r>
    </w:p>
    <w:p w:rsidR="00196251" w:rsidRPr="00196251" w:rsidRDefault="00196251" w:rsidP="00196251">
      <w:pPr>
        <w:numPr>
          <w:ilvl w:val="0"/>
          <w:numId w:val="4"/>
        </w:numPr>
        <w:spacing w:after="105" w:line="225" w:lineRule="atLeast"/>
        <w:ind w:left="0"/>
        <w:rPr>
          <w:rFonts w:ascii="Arial" w:eastAsia="Times New Roman" w:hAnsi="Arial" w:cs="Arial"/>
          <w:color w:val="000000"/>
          <w:sz w:val="18"/>
          <w:szCs w:val="18"/>
        </w:rPr>
      </w:pPr>
      <w:hyperlink r:id="rId20" w:history="1">
        <w:r w:rsidRPr="00196251">
          <w:rPr>
            <w:rFonts w:ascii="Arial" w:eastAsia="Times New Roman" w:hAnsi="Arial" w:cs="Arial"/>
            <w:color w:val="2E6E9E"/>
            <w:sz w:val="18"/>
            <w:szCs w:val="18"/>
            <w:u w:val="single"/>
          </w:rPr>
          <w:t>Shell set to drill in Arctic this month</w:t>
        </w:r>
      </w:hyperlink>
    </w:p>
    <w:p w:rsidR="00196251" w:rsidRPr="00196251" w:rsidRDefault="00196251" w:rsidP="00196251">
      <w:pPr>
        <w:numPr>
          <w:ilvl w:val="0"/>
          <w:numId w:val="4"/>
        </w:numPr>
        <w:spacing w:after="105" w:line="225" w:lineRule="atLeast"/>
        <w:ind w:left="0"/>
        <w:rPr>
          <w:rFonts w:ascii="Arial" w:eastAsia="Times New Roman" w:hAnsi="Arial" w:cs="Arial"/>
          <w:color w:val="000000"/>
          <w:sz w:val="18"/>
          <w:szCs w:val="18"/>
        </w:rPr>
      </w:pPr>
      <w:hyperlink r:id="rId21" w:history="1">
        <w:r w:rsidRPr="00196251">
          <w:rPr>
            <w:rFonts w:ascii="Arial" w:eastAsia="Times New Roman" w:hAnsi="Arial" w:cs="Arial"/>
            <w:color w:val="2E6E9E"/>
            <w:sz w:val="18"/>
            <w:szCs w:val="18"/>
            <w:u w:val="single"/>
          </w:rPr>
          <w:t>Week in Review, July 4</w:t>
        </w:r>
      </w:hyperlink>
    </w:p>
    <w:p w:rsidR="00196251" w:rsidRPr="00196251" w:rsidRDefault="00196251" w:rsidP="00196251">
      <w:pPr>
        <w:numPr>
          <w:ilvl w:val="0"/>
          <w:numId w:val="4"/>
        </w:numPr>
        <w:spacing w:after="105" w:line="225" w:lineRule="atLeast"/>
        <w:ind w:left="0"/>
        <w:rPr>
          <w:rFonts w:ascii="Arial" w:eastAsia="Times New Roman" w:hAnsi="Arial" w:cs="Arial"/>
          <w:color w:val="000000"/>
          <w:sz w:val="18"/>
          <w:szCs w:val="18"/>
        </w:rPr>
      </w:pPr>
      <w:hyperlink r:id="rId22" w:history="1">
        <w:r w:rsidRPr="00196251">
          <w:rPr>
            <w:rFonts w:ascii="Arial" w:eastAsia="Times New Roman" w:hAnsi="Arial" w:cs="Arial"/>
            <w:color w:val="2E6E9E"/>
            <w:sz w:val="18"/>
            <w:szCs w:val="18"/>
            <w:u w:val="single"/>
          </w:rPr>
          <w:t>BP settlement puts a value on clarity</w:t>
        </w:r>
      </w:hyperlink>
    </w:p>
    <w:p w:rsidR="00196251" w:rsidRPr="00196251" w:rsidRDefault="00196251" w:rsidP="00196251">
      <w:pPr>
        <w:numPr>
          <w:ilvl w:val="0"/>
          <w:numId w:val="4"/>
        </w:numPr>
        <w:spacing w:after="105" w:line="225" w:lineRule="atLeast"/>
        <w:ind w:left="0"/>
        <w:rPr>
          <w:rFonts w:ascii="Arial" w:eastAsia="Times New Roman" w:hAnsi="Arial" w:cs="Arial"/>
          <w:color w:val="000000"/>
          <w:sz w:val="18"/>
          <w:szCs w:val="18"/>
        </w:rPr>
      </w:pPr>
      <w:hyperlink r:id="rId23" w:history="1">
        <w:r w:rsidRPr="00196251">
          <w:rPr>
            <w:rFonts w:ascii="Arial" w:eastAsia="Times New Roman" w:hAnsi="Arial" w:cs="Arial"/>
            <w:color w:val="2E6E9E"/>
            <w:sz w:val="18"/>
            <w:szCs w:val="18"/>
            <w:u w:val="single"/>
          </w:rPr>
          <w:t>BP settles Deepwater spill for $18.7bn</w:t>
        </w:r>
      </w:hyperlink>
    </w:p>
    <w:p w:rsidR="00196251" w:rsidRPr="00196251" w:rsidRDefault="00196251" w:rsidP="00196251">
      <w:pPr>
        <w:shd w:val="clear" w:color="auto" w:fill="F6E9D8"/>
        <w:spacing w:after="210" w:line="240" w:lineRule="atLeast"/>
        <w:outlineLvl w:val="2"/>
        <w:rPr>
          <w:rFonts w:ascii="Arial" w:eastAsia="Times New Roman" w:hAnsi="Arial" w:cs="Arial"/>
          <w:color w:val="000000"/>
          <w:sz w:val="21"/>
          <w:szCs w:val="21"/>
        </w:rPr>
      </w:pPr>
      <w:hyperlink r:id="rId24" w:history="1">
        <w:r w:rsidRPr="00196251">
          <w:rPr>
            <w:rFonts w:ascii="Arial" w:eastAsia="Times New Roman" w:hAnsi="Arial" w:cs="Arial"/>
            <w:color w:val="2E6E9E"/>
            <w:sz w:val="21"/>
            <w:szCs w:val="21"/>
            <w:u w:val="single"/>
          </w:rPr>
          <w:t>Sign up now</w:t>
        </w:r>
      </w:hyperlink>
    </w:p>
    <w:p w:rsidR="00196251" w:rsidRPr="00196251" w:rsidRDefault="00196251" w:rsidP="00196251">
      <w:pPr>
        <w:shd w:val="clear" w:color="auto" w:fill="F6E9D8"/>
        <w:spacing w:line="330" w:lineRule="atLeast"/>
        <w:jc w:val="center"/>
        <w:rPr>
          <w:rFonts w:ascii="Arial" w:eastAsia="Times New Roman" w:hAnsi="Arial" w:cs="Arial"/>
          <w:color w:val="000000"/>
          <w:sz w:val="24"/>
          <w:szCs w:val="24"/>
        </w:rPr>
      </w:pPr>
      <w:r w:rsidRPr="00196251">
        <w:rPr>
          <w:rFonts w:ascii="Arial" w:eastAsia="Times New Roman" w:hAnsi="Arial" w:cs="Arial"/>
          <w:noProof/>
          <w:color w:val="2E6E9E"/>
          <w:sz w:val="24"/>
          <w:szCs w:val="24"/>
        </w:rPr>
        <w:drawing>
          <wp:inline distT="0" distB="0" distL="0" distR="0" wp14:anchorId="0E600630" wp14:editId="14DA2A98">
            <wp:extent cx="1591310" cy="914400"/>
            <wp:effectExtent l="0" t="0" r="8890" b="0"/>
            <wp:docPr id="2" name="Picture 2" descr="firstFT">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rstFT">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91310" cy="914400"/>
                    </a:xfrm>
                    <a:prstGeom prst="rect">
                      <a:avLst/>
                    </a:prstGeom>
                    <a:noFill/>
                    <a:ln>
                      <a:noFill/>
                    </a:ln>
                  </pic:spPr>
                </pic:pic>
              </a:graphicData>
            </a:graphic>
          </wp:inline>
        </w:drawing>
      </w:r>
    </w:p>
    <w:p w:rsidR="00196251" w:rsidRPr="00196251" w:rsidRDefault="00196251" w:rsidP="00196251">
      <w:pPr>
        <w:shd w:val="clear" w:color="auto" w:fill="F6E9D8"/>
        <w:spacing w:after="75" w:line="240" w:lineRule="atLeast"/>
        <w:rPr>
          <w:rFonts w:ascii="Arial" w:eastAsia="Times New Roman" w:hAnsi="Arial" w:cs="Arial"/>
          <w:color w:val="000000"/>
          <w:sz w:val="18"/>
          <w:szCs w:val="18"/>
        </w:rPr>
      </w:pPr>
      <w:proofErr w:type="spellStart"/>
      <w:r w:rsidRPr="00196251">
        <w:rPr>
          <w:rFonts w:ascii="Arial" w:eastAsia="Times New Roman" w:hAnsi="Arial" w:cs="Arial"/>
          <w:i/>
          <w:iCs/>
          <w:color w:val="000000"/>
          <w:sz w:val="18"/>
          <w:szCs w:val="18"/>
        </w:rPr>
        <w:t>First</w:t>
      </w:r>
      <w:r w:rsidRPr="00196251">
        <w:rPr>
          <w:rFonts w:ascii="Arial" w:eastAsia="Times New Roman" w:hAnsi="Arial" w:cs="Arial"/>
          <w:color w:val="000000"/>
          <w:sz w:val="18"/>
          <w:szCs w:val="18"/>
        </w:rPr>
        <w:t>FT</w:t>
      </w:r>
      <w:proofErr w:type="spellEnd"/>
      <w:r w:rsidRPr="00196251">
        <w:rPr>
          <w:rFonts w:ascii="Arial" w:eastAsia="Times New Roman" w:hAnsi="Arial" w:cs="Arial"/>
          <w:color w:val="000000"/>
          <w:sz w:val="18"/>
          <w:szCs w:val="18"/>
        </w:rPr>
        <w:t xml:space="preserve"> is our new essential daily email briefing of the best stories from across the web</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The bill, which now could pass as soon as September, is aimed at stimulating a flood of much-needed investment into one of the world`s most promising oil exploration areas. Oil majors, such as </w:t>
      </w:r>
      <w:hyperlink r:id="rId27" w:history="1">
        <w:r w:rsidRPr="00196251">
          <w:rPr>
            <w:rFonts w:ascii="Georgia" w:eastAsia="Times New Roman" w:hAnsi="Georgia" w:cs="Times New Roman"/>
            <w:color w:val="2E6E9E"/>
            <w:sz w:val="24"/>
            <w:szCs w:val="24"/>
            <w:u w:val="single"/>
          </w:rPr>
          <w:t>Royal Dutch Shell</w:t>
        </w:r>
      </w:hyperlink>
      <w:r w:rsidRPr="00196251">
        <w:rPr>
          <w:rFonts w:ascii="Georgia" w:eastAsia="Times New Roman" w:hAnsi="Georgia" w:cs="Times New Roman"/>
          <w:color w:val="000000"/>
          <w:sz w:val="24"/>
          <w:szCs w:val="24"/>
        </w:rPr>
        <w:t xml:space="preserve">, which so far have been permitted to participate in the pre-salt only as financial partners to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 have already indicated their interest in becoming operators should the rule change.</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Last week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 which is heavily indebted, said it was </w:t>
      </w:r>
      <w:hyperlink r:id="rId28" w:tooltip="Petrobras slashes investment to cut debt - FT.com" w:history="1">
        <w:r w:rsidRPr="00196251">
          <w:rPr>
            <w:rFonts w:ascii="Georgia" w:eastAsia="Times New Roman" w:hAnsi="Georgia" w:cs="Times New Roman"/>
            <w:color w:val="2E6E9E"/>
            <w:sz w:val="24"/>
            <w:szCs w:val="24"/>
            <w:u w:val="single"/>
          </w:rPr>
          <w:t>scaling back</w:t>
        </w:r>
        <w:r w:rsidRPr="00196251">
          <w:rPr>
            <w:rFonts w:ascii="Georgia" w:eastAsia="Times New Roman" w:hAnsi="Georgia" w:cs="Times New Roman"/>
            <w:color w:val="2E6E9E"/>
            <w:sz w:val="24"/>
            <w:szCs w:val="24"/>
          </w:rPr>
          <w:t> </w:t>
        </w:r>
      </w:hyperlink>
      <w:r w:rsidRPr="00196251">
        <w:rPr>
          <w:rFonts w:ascii="Georgia" w:eastAsia="Times New Roman" w:hAnsi="Georgia" w:cs="Times New Roman"/>
          <w:color w:val="000000"/>
          <w:sz w:val="24"/>
          <w:szCs w:val="24"/>
        </w:rPr>
        <w:t>its five-year investment plan by 37 per cent to $130.3bn.</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“This bill, once passed, will improve </w:t>
      </w:r>
      <w:proofErr w:type="spellStart"/>
      <w:r w:rsidRPr="00196251">
        <w:rPr>
          <w:rFonts w:ascii="Georgia" w:eastAsia="Times New Roman" w:hAnsi="Georgia" w:cs="Times New Roman"/>
          <w:color w:val="000000"/>
          <w:sz w:val="24"/>
          <w:szCs w:val="24"/>
        </w:rPr>
        <w:fldChar w:fldCharType="begin"/>
      </w:r>
      <w:r w:rsidRPr="00196251">
        <w:rPr>
          <w:rFonts w:ascii="Georgia" w:eastAsia="Times New Roman" w:hAnsi="Georgia" w:cs="Times New Roman"/>
          <w:color w:val="000000"/>
          <w:sz w:val="24"/>
          <w:szCs w:val="24"/>
        </w:rPr>
        <w:instrText xml:space="preserve"> HYPERLINK "http://markets.ft.com/research/Markets/Tearsheets/Summary?s=PETR4:SAO" \o "Petrobras Markets Data - FT.com" </w:instrText>
      </w:r>
      <w:r w:rsidRPr="00196251">
        <w:rPr>
          <w:rFonts w:ascii="Georgia" w:eastAsia="Times New Roman" w:hAnsi="Georgia" w:cs="Times New Roman"/>
          <w:color w:val="000000"/>
          <w:sz w:val="24"/>
          <w:szCs w:val="24"/>
        </w:rPr>
        <w:fldChar w:fldCharType="separate"/>
      </w:r>
      <w:r w:rsidRPr="00196251">
        <w:rPr>
          <w:rFonts w:ascii="Georgia" w:eastAsia="Times New Roman" w:hAnsi="Georgia" w:cs="Times New Roman"/>
          <w:color w:val="2E6E9E"/>
          <w:sz w:val="24"/>
          <w:szCs w:val="24"/>
          <w:u w:val="single"/>
        </w:rPr>
        <w:t>Petrobras</w:t>
      </w:r>
      <w:proofErr w:type="spellEnd"/>
      <w:r w:rsidRPr="00196251">
        <w:rPr>
          <w:rFonts w:ascii="Georgia" w:eastAsia="Times New Roman" w:hAnsi="Georgia" w:cs="Times New Roman"/>
          <w:color w:val="000000"/>
          <w:sz w:val="24"/>
          <w:szCs w:val="24"/>
        </w:rPr>
        <w:fldChar w:fldCharType="end"/>
      </w:r>
      <w:r w:rsidRPr="00196251">
        <w:rPr>
          <w:rFonts w:ascii="Georgia" w:eastAsia="Times New Roman" w:hAnsi="Georgia" w:cs="Times New Roman"/>
          <w:color w:val="000000"/>
          <w:sz w:val="24"/>
          <w:szCs w:val="24"/>
        </w:rPr>
        <w:t xml:space="preserve">’ financial performance,” </w:t>
      </w:r>
      <w:proofErr w:type="spellStart"/>
      <w:r w:rsidRPr="00196251">
        <w:rPr>
          <w:rFonts w:ascii="Georgia" w:eastAsia="Times New Roman" w:hAnsi="Georgia" w:cs="Times New Roman"/>
          <w:color w:val="000000"/>
          <w:sz w:val="24"/>
          <w:szCs w:val="24"/>
        </w:rPr>
        <w:t>Mr</w:t>
      </w:r>
      <w:proofErr w:type="spellEnd"/>
      <w:r w:rsidRPr="00196251">
        <w:rPr>
          <w:rFonts w:ascii="Georgia" w:eastAsia="Times New Roman" w:hAnsi="Georgia" w:cs="Times New Roman"/>
          <w:color w:val="000000"/>
          <w:sz w:val="24"/>
          <w:szCs w:val="24"/>
        </w:rPr>
        <w:t xml:space="preserve"> Serra, a member of the centrist opposition PSDB party, told the Financial Times. “At the same time, it will accelerate the development of the pre-salt, which has been in semi-stagnation in recent years.”</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The bill has gained strength in recent days with support from the leader of the senate, Renan </w:t>
      </w:r>
      <w:proofErr w:type="spellStart"/>
      <w:r w:rsidRPr="00196251">
        <w:rPr>
          <w:rFonts w:ascii="Georgia" w:eastAsia="Times New Roman" w:hAnsi="Georgia" w:cs="Times New Roman"/>
          <w:color w:val="000000"/>
          <w:sz w:val="24"/>
          <w:szCs w:val="24"/>
        </w:rPr>
        <w:t>Calheiros</w:t>
      </w:r>
      <w:proofErr w:type="spellEnd"/>
      <w:r w:rsidRPr="00196251">
        <w:rPr>
          <w:rFonts w:ascii="Georgia" w:eastAsia="Times New Roman" w:hAnsi="Georgia" w:cs="Times New Roman"/>
          <w:color w:val="000000"/>
          <w:sz w:val="24"/>
          <w:szCs w:val="24"/>
        </w:rPr>
        <w:t xml:space="preserve">, whose PMDB party dominates both houses of congress. Analysts believe it is likely to pass, although probably with an amendment that would give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 xml:space="preserve"> the right of first refusal over the operation of pre-salt fields.</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Eurasia Group said in a note that President Dilma Rousseff of the PT publicly opposed the proposal, but her “ability to block the bill in congress is very limited”.</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The pre-salt oil finds off Brazil’s southeast coast are believed to contain at least as much oil as the near 60bn barrels in the North Sea. They sparked euphoria when they were discovered in 2007.</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lastRenderedPageBreak/>
        <w:t xml:space="preserve">The government of Brazil’s left-leaning Workers’ Party, or PT, changed the country’s laws governing oil concessions to make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 xml:space="preserve"> the sole operator in the </w:t>
      </w:r>
      <w:proofErr w:type="gramStart"/>
      <w:r w:rsidRPr="00196251">
        <w:rPr>
          <w:rFonts w:ascii="Georgia" w:eastAsia="Times New Roman" w:hAnsi="Georgia" w:cs="Times New Roman"/>
          <w:color w:val="000000"/>
          <w:sz w:val="24"/>
          <w:szCs w:val="24"/>
        </w:rPr>
        <w:t>pre-salt</w:t>
      </w:r>
      <w:proofErr w:type="gramEnd"/>
      <w:r w:rsidRPr="00196251">
        <w:rPr>
          <w:rFonts w:ascii="Georgia" w:eastAsia="Times New Roman" w:hAnsi="Georgia" w:cs="Times New Roman"/>
          <w:color w:val="000000"/>
          <w:sz w:val="24"/>
          <w:szCs w:val="24"/>
        </w:rPr>
        <w:t xml:space="preserve"> discoveries.</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That rule, as well as requirements that the company must take at least a 30 per cent stake in each of the giant fields, have proved burdensome for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 xml:space="preserve">, which has net debt of $106bn, analysts say. In April,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 which has also been hit by a </w:t>
      </w:r>
      <w:hyperlink r:id="rId29" w:tooltip="Brazil: Oily mess - FT.com" w:history="1">
        <w:r w:rsidRPr="00196251">
          <w:rPr>
            <w:rFonts w:ascii="Georgia" w:eastAsia="Times New Roman" w:hAnsi="Georgia" w:cs="Times New Roman"/>
            <w:color w:val="2E6E9E"/>
            <w:sz w:val="24"/>
            <w:szCs w:val="24"/>
            <w:u w:val="single"/>
          </w:rPr>
          <w:t>corruption scandal,</w:t>
        </w:r>
      </w:hyperlink>
      <w:r w:rsidRPr="00196251">
        <w:rPr>
          <w:rFonts w:ascii="Georgia" w:eastAsia="Times New Roman" w:hAnsi="Georgia" w:cs="Times New Roman"/>
          <w:color w:val="000000"/>
          <w:sz w:val="24"/>
          <w:szCs w:val="24"/>
        </w:rPr>
        <w:t> announced a write-off of R$51bn in 2014.</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Adriano </w:t>
      </w:r>
      <w:proofErr w:type="spellStart"/>
      <w:r w:rsidRPr="00196251">
        <w:rPr>
          <w:rFonts w:ascii="Georgia" w:eastAsia="Times New Roman" w:hAnsi="Georgia" w:cs="Times New Roman"/>
          <w:color w:val="000000"/>
          <w:sz w:val="24"/>
          <w:szCs w:val="24"/>
        </w:rPr>
        <w:t>Pires</w:t>
      </w:r>
      <w:proofErr w:type="spellEnd"/>
      <w:r w:rsidRPr="00196251">
        <w:rPr>
          <w:rFonts w:ascii="Georgia" w:eastAsia="Times New Roman" w:hAnsi="Georgia" w:cs="Times New Roman"/>
          <w:color w:val="000000"/>
          <w:sz w:val="24"/>
          <w:szCs w:val="24"/>
        </w:rPr>
        <w:t xml:space="preserve">, founder of the Brazilian Centre of Infrastructure, said </w:t>
      </w:r>
      <w:proofErr w:type="spellStart"/>
      <w:r w:rsidRPr="00196251">
        <w:rPr>
          <w:rFonts w:ascii="Georgia" w:eastAsia="Times New Roman" w:hAnsi="Georgia" w:cs="Times New Roman"/>
          <w:color w:val="000000"/>
          <w:sz w:val="24"/>
          <w:szCs w:val="24"/>
        </w:rPr>
        <w:t>Mr</w:t>
      </w:r>
      <w:proofErr w:type="spellEnd"/>
      <w:r w:rsidRPr="00196251">
        <w:rPr>
          <w:rFonts w:ascii="Georgia" w:eastAsia="Times New Roman" w:hAnsi="Georgia" w:cs="Times New Roman"/>
          <w:color w:val="000000"/>
          <w:sz w:val="24"/>
          <w:szCs w:val="24"/>
        </w:rPr>
        <w:t xml:space="preserve"> Serra’s bill would speed up the development of the pre-salt by enabling the government to hold real rather than token auctions of exploration blocks to attract greater investment.</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Under the system in place before the pre-salt, all companies could compete equally in auctions to win concessions to be the operators of exploration blocks. But the pre-salt law made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 xml:space="preserve"> the only possible bidder for blocks in that area. As a result, the only </w:t>
      </w:r>
      <w:hyperlink r:id="rId30" w:tooltip="Consortium wins Brazil deepwater oilfield auction - FT.com" w:history="1">
        <w:r w:rsidRPr="00196251">
          <w:rPr>
            <w:rFonts w:ascii="Georgia" w:eastAsia="Times New Roman" w:hAnsi="Georgia" w:cs="Times New Roman"/>
            <w:color w:val="2E6E9E"/>
            <w:sz w:val="24"/>
            <w:szCs w:val="24"/>
            <w:u w:val="single"/>
          </w:rPr>
          <w:t>pre-salt auction</w:t>
        </w:r>
      </w:hyperlink>
      <w:r w:rsidRPr="00196251">
        <w:rPr>
          <w:rFonts w:ascii="Georgia" w:eastAsia="Times New Roman" w:hAnsi="Georgia" w:cs="Times New Roman"/>
          <w:color w:val="000000"/>
          <w:sz w:val="24"/>
          <w:szCs w:val="24"/>
        </w:rPr>
        <w:t xml:space="preserve"> that was held under the new system — for the Libra field in 2013 — had one bidder, a consortium led by </w:t>
      </w:r>
      <w:proofErr w:type="spellStart"/>
      <w:r w:rsidRPr="00196251">
        <w:rPr>
          <w:rFonts w:ascii="Georgia" w:eastAsia="Times New Roman" w:hAnsi="Georgia" w:cs="Times New Roman"/>
          <w:color w:val="000000"/>
          <w:sz w:val="24"/>
          <w:szCs w:val="24"/>
        </w:rPr>
        <w:t>Petrobras</w:t>
      </w:r>
      <w:proofErr w:type="spellEnd"/>
      <w:r w:rsidRPr="00196251">
        <w:rPr>
          <w:rFonts w:ascii="Georgia" w:eastAsia="Times New Roman" w:hAnsi="Georgia" w:cs="Times New Roman"/>
          <w:color w:val="000000"/>
          <w:sz w:val="24"/>
          <w:szCs w:val="24"/>
        </w:rPr>
        <w:t>.</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“I think given the moment that Brazil is passing, </w:t>
      </w:r>
      <w:proofErr w:type="spellStart"/>
      <w:r w:rsidRPr="00196251">
        <w:rPr>
          <w:rFonts w:ascii="Georgia" w:eastAsia="Times New Roman" w:hAnsi="Georgia" w:cs="Times New Roman"/>
          <w:color w:val="000000"/>
          <w:sz w:val="24"/>
          <w:szCs w:val="24"/>
        </w:rPr>
        <w:t>characterised</w:t>
      </w:r>
      <w:proofErr w:type="spellEnd"/>
      <w:r w:rsidRPr="00196251">
        <w:rPr>
          <w:rFonts w:ascii="Georgia" w:eastAsia="Times New Roman" w:hAnsi="Georgia" w:cs="Times New Roman"/>
          <w:color w:val="000000"/>
          <w:sz w:val="24"/>
          <w:szCs w:val="24"/>
        </w:rPr>
        <w:t xml:space="preserve"> by a deep economic crisis, any bill that will </w:t>
      </w:r>
      <w:proofErr w:type="spellStart"/>
      <w:r w:rsidRPr="00196251">
        <w:rPr>
          <w:rFonts w:ascii="Georgia" w:eastAsia="Times New Roman" w:hAnsi="Georgia" w:cs="Times New Roman"/>
          <w:color w:val="000000"/>
          <w:sz w:val="24"/>
          <w:szCs w:val="24"/>
        </w:rPr>
        <w:t>incentivise</w:t>
      </w:r>
      <w:proofErr w:type="spellEnd"/>
      <w:r w:rsidRPr="00196251">
        <w:rPr>
          <w:rFonts w:ascii="Georgia" w:eastAsia="Times New Roman" w:hAnsi="Georgia" w:cs="Times New Roman"/>
          <w:color w:val="000000"/>
          <w:sz w:val="24"/>
          <w:szCs w:val="24"/>
        </w:rPr>
        <w:t xml:space="preserve"> [private] investment is welcome,” </w:t>
      </w:r>
      <w:proofErr w:type="spellStart"/>
      <w:r w:rsidRPr="00196251">
        <w:rPr>
          <w:rFonts w:ascii="Georgia" w:eastAsia="Times New Roman" w:hAnsi="Georgia" w:cs="Times New Roman"/>
          <w:color w:val="000000"/>
          <w:sz w:val="24"/>
          <w:szCs w:val="24"/>
        </w:rPr>
        <w:t>Mr</w:t>
      </w:r>
      <w:proofErr w:type="spellEnd"/>
      <w:r w:rsidRPr="00196251">
        <w:rPr>
          <w:rFonts w:ascii="Georgia" w:eastAsia="Times New Roman" w:hAnsi="Georgia" w:cs="Times New Roman"/>
          <w:color w:val="000000"/>
          <w:sz w:val="24"/>
          <w:szCs w:val="24"/>
        </w:rPr>
        <w:t xml:space="preserve"> </w:t>
      </w:r>
      <w:proofErr w:type="spellStart"/>
      <w:r w:rsidRPr="00196251">
        <w:rPr>
          <w:rFonts w:ascii="Georgia" w:eastAsia="Times New Roman" w:hAnsi="Georgia" w:cs="Times New Roman"/>
          <w:color w:val="000000"/>
          <w:sz w:val="24"/>
          <w:szCs w:val="24"/>
        </w:rPr>
        <w:t>Pires</w:t>
      </w:r>
      <w:proofErr w:type="spellEnd"/>
      <w:r w:rsidRPr="00196251">
        <w:rPr>
          <w:rFonts w:ascii="Georgia" w:eastAsia="Times New Roman" w:hAnsi="Georgia" w:cs="Times New Roman"/>
          <w:color w:val="000000"/>
          <w:sz w:val="24"/>
          <w:szCs w:val="24"/>
        </w:rPr>
        <w:t xml:space="preserve"> said.</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 xml:space="preserve">Last week, Shell’s Brazil head André </w:t>
      </w:r>
      <w:proofErr w:type="spellStart"/>
      <w:r w:rsidRPr="00196251">
        <w:rPr>
          <w:rFonts w:ascii="Georgia" w:eastAsia="Times New Roman" w:hAnsi="Georgia" w:cs="Times New Roman"/>
          <w:color w:val="000000"/>
          <w:sz w:val="24"/>
          <w:szCs w:val="24"/>
        </w:rPr>
        <w:t>Araújo</w:t>
      </w:r>
      <w:proofErr w:type="spellEnd"/>
      <w:r w:rsidRPr="00196251">
        <w:rPr>
          <w:rFonts w:ascii="Georgia" w:eastAsia="Times New Roman" w:hAnsi="Georgia" w:cs="Times New Roman"/>
          <w:color w:val="000000"/>
          <w:sz w:val="24"/>
          <w:szCs w:val="24"/>
        </w:rPr>
        <w:t xml:space="preserve"> indicated the company’s interest in becoming an operator in the pre-salt area.</w:t>
      </w:r>
    </w:p>
    <w:p w:rsidR="00196251" w:rsidRPr="00196251" w:rsidRDefault="00196251" w:rsidP="00196251">
      <w:pPr>
        <w:spacing w:after="0" w:line="330" w:lineRule="atLeast"/>
        <w:rPr>
          <w:rFonts w:ascii="Georgia" w:eastAsia="Times New Roman" w:hAnsi="Georgia" w:cs="Times New Roman"/>
          <w:color w:val="000000"/>
          <w:sz w:val="24"/>
          <w:szCs w:val="24"/>
        </w:rPr>
      </w:pPr>
      <w:r w:rsidRPr="00196251">
        <w:rPr>
          <w:rFonts w:ascii="Georgia" w:eastAsia="Times New Roman" w:hAnsi="Georgia" w:cs="Times New Roman"/>
          <w:color w:val="000000"/>
          <w:sz w:val="24"/>
          <w:szCs w:val="24"/>
        </w:rPr>
        <w:t>“</w:t>
      </w:r>
      <w:proofErr w:type="spellStart"/>
      <w:r w:rsidRPr="00196251">
        <w:rPr>
          <w:rFonts w:ascii="Georgia" w:eastAsia="Times New Roman" w:hAnsi="Georgia" w:cs="Times New Roman"/>
          <w:color w:val="000000"/>
          <w:sz w:val="24"/>
          <w:szCs w:val="24"/>
        </w:rPr>
        <w:t>Shell</w:t>
      </w:r>
      <w:proofErr w:type="spellEnd"/>
      <w:r w:rsidRPr="00196251">
        <w:rPr>
          <w:rFonts w:ascii="Georgia" w:eastAsia="Times New Roman" w:hAnsi="Georgia" w:cs="Times New Roman"/>
          <w:color w:val="000000"/>
          <w:sz w:val="24"/>
          <w:szCs w:val="24"/>
        </w:rPr>
        <w:t xml:space="preserve"> always likes </w:t>
      </w:r>
      <w:proofErr w:type="gramStart"/>
      <w:r w:rsidRPr="00196251">
        <w:rPr>
          <w:rFonts w:ascii="Georgia" w:eastAsia="Times New Roman" w:hAnsi="Georgia" w:cs="Times New Roman"/>
          <w:color w:val="000000"/>
          <w:sz w:val="24"/>
          <w:szCs w:val="24"/>
        </w:rPr>
        <w:t>to</w:t>
      </w:r>
      <w:r w:rsidRPr="00196251">
        <w:rPr>
          <w:rFonts w:ascii="Times New Roman" w:eastAsia="Times New Roman" w:hAnsi="Times New Roman" w:cs="Times New Roman"/>
          <w:color w:val="000000"/>
          <w:sz w:val="24"/>
          <w:szCs w:val="24"/>
        </w:rPr>
        <w:t> </w:t>
      </w:r>
      <w:r w:rsidRPr="00196251">
        <w:rPr>
          <w:rFonts w:ascii="Georgia" w:eastAsia="Times New Roman" w:hAnsi="Georgia" w:cs="Times New Roman"/>
          <w:color w:val="000000"/>
          <w:sz w:val="24"/>
          <w:szCs w:val="24"/>
        </w:rPr>
        <w:t>.</w:t>
      </w:r>
      <w:proofErr w:type="gramEnd"/>
      <w:r w:rsidRPr="00196251">
        <w:rPr>
          <w:rFonts w:ascii="Times New Roman" w:eastAsia="Times New Roman" w:hAnsi="Times New Roman" w:cs="Times New Roman"/>
          <w:color w:val="000000"/>
          <w:sz w:val="24"/>
          <w:szCs w:val="24"/>
        </w:rPr>
        <w:t> </w:t>
      </w:r>
      <w:r w:rsidRPr="00196251">
        <w:rPr>
          <w:rFonts w:ascii="Georgia" w:eastAsia="Times New Roman" w:hAnsi="Georgia" w:cs="Times New Roman"/>
          <w:color w:val="000000"/>
          <w:sz w:val="24"/>
          <w:szCs w:val="24"/>
        </w:rPr>
        <w:t>.</w:t>
      </w:r>
      <w:r w:rsidRPr="00196251">
        <w:rPr>
          <w:rFonts w:ascii="Times New Roman" w:eastAsia="Times New Roman" w:hAnsi="Times New Roman" w:cs="Times New Roman"/>
          <w:color w:val="000000"/>
          <w:sz w:val="24"/>
          <w:szCs w:val="24"/>
        </w:rPr>
        <w:t> </w:t>
      </w:r>
      <w:r w:rsidRPr="00196251">
        <w:rPr>
          <w:rFonts w:ascii="Georgia" w:eastAsia="Times New Roman" w:hAnsi="Georgia" w:cs="Times New Roman"/>
          <w:color w:val="000000"/>
          <w:sz w:val="24"/>
          <w:szCs w:val="24"/>
        </w:rPr>
        <w:t>.</w:t>
      </w:r>
      <w:r w:rsidRPr="00196251">
        <w:rPr>
          <w:rFonts w:ascii="Times New Roman" w:eastAsia="Times New Roman" w:hAnsi="Times New Roman" w:cs="Times New Roman"/>
          <w:color w:val="000000"/>
          <w:sz w:val="24"/>
          <w:szCs w:val="24"/>
        </w:rPr>
        <w:t> </w:t>
      </w:r>
      <w:r w:rsidRPr="00196251">
        <w:rPr>
          <w:rFonts w:ascii="Georgia" w:eastAsia="Times New Roman" w:hAnsi="Georgia" w:cs="Times New Roman"/>
          <w:color w:val="000000"/>
          <w:sz w:val="24"/>
          <w:szCs w:val="24"/>
        </w:rPr>
        <w:t>have options, and one of these options is the possibility of being the operator,</w:t>
      </w:r>
      <w:r w:rsidRPr="00196251">
        <w:rPr>
          <w:rFonts w:ascii="Georgia" w:eastAsia="Times New Roman" w:hAnsi="Georgia" w:cs="Georgia"/>
          <w:color w:val="000000"/>
          <w:sz w:val="24"/>
          <w:szCs w:val="24"/>
        </w:rPr>
        <w:t>”</w:t>
      </w:r>
      <w:r w:rsidRPr="00196251">
        <w:rPr>
          <w:rFonts w:ascii="Georgia" w:eastAsia="Times New Roman" w:hAnsi="Georgia" w:cs="Times New Roman"/>
          <w:color w:val="000000"/>
          <w:sz w:val="24"/>
          <w:szCs w:val="24"/>
        </w:rPr>
        <w:t xml:space="preserve"> he told reporters, adding however that a decision on the regulatory framework was a government matter.</w:t>
      </w:r>
    </w:p>
    <w:p w:rsidR="00196251" w:rsidRPr="00196251" w:rsidRDefault="00196251" w:rsidP="00196251">
      <w:pPr>
        <w:spacing w:before="150" w:after="225" w:line="210" w:lineRule="atLeast"/>
        <w:ind w:right="240"/>
        <w:outlineLvl w:val="1"/>
        <w:rPr>
          <w:rFonts w:ascii="Arial" w:eastAsia="Times New Roman" w:hAnsi="Arial" w:cs="Arial"/>
          <w:b/>
          <w:bCs/>
          <w:caps/>
          <w:color w:val="000000"/>
          <w:sz w:val="24"/>
          <w:szCs w:val="24"/>
        </w:rPr>
      </w:pPr>
      <w:r w:rsidRPr="00196251">
        <w:rPr>
          <w:rFonts w:ascii="Arial" w:eastAsia="Times New Roman" w:hAnsi="Arial" w:cs="Arial"/>
          <w:b/>
          <w:bCs/>
          <w:caps/>
          <w:color w:val="000000"/>
          <w:sz w:val="24"/>
          <w:szCs w:val="24"/>
        </w:rPr>
        <w:t>RELATED TOPICS</w:t>
      </w:r>
    </w:p>
    <w:p w:rsidR="00196251" w:rsidRPr="00196251" w:rsidRDefault="00196251" w:rsidP="00196251">
      <w:pPr>
        <w:numPr>
          <w:ilvl w:val="0"/>
          <w:numId w:val="5"/>
        </w:numPr>
        <w:spacing w:line="240" w:lineRule="atLeast"/>
        <w:ind w:left="0" w:right="72"/>
        <w:rPr>
          <w:rFonts w:ascii="Helvetica" w:eastAsia="Times New Roman" w:hAnsi="Helvetica" w:cs="Helvetica"/>
          <w:color w:val="777777"/>
          <w:sz w:val="18"/>
          <w:szCs w:val="18"/>
        </w:rPr>
      </w:pPr>
      <w:hyperlink r:id="rId31" w:history="1">
        <w:r w:rsidRPr="00196251">
          <w:rPr>
            <w:rFonts w:ascii="Helvetica" w:eastAsia="Times New Roman" w:hAnsi="Helvetica" w:cs="Helvetica"/>
            <w:color w:val="2E6E9E"/>
            <w:sz w:val="18"/>
            <w:szCs w:val="18"/>
            <w:u w:val="single"/>
          </w:rPr>
          <w:t>Oil</w:t>
        </w:r>
      </w:hyperlink>
    </w:p>
    <w:p w:rsidR="00196251" w:rsidRPr="00196251" w:rsidRDefault="00196251" w:rsidP="00196251">
      <w:pPr>
        <w:spacing w:after="0" w:line="180" w:lineRule="atLeast"/>
        <w:rPr>
          <w:rFonts w:ascii="Arial" w:eastAsia="Times New Roman" w:hAnsi="Arial" w:cs="Arial"/>
          <w:color w:val="000000"/>
          <w:sz w:val="15"/>
          <w:szCs w:val="15"/>
        </w:rPr>
      </w:pPr>
      <w:hyperlink r:id="rId32" w:history="1">
        <w:r w:rsidRPr="00196251">
          <w:rPr>
            <w:rFonts w:ascii="Arial" w:eastAsia="Times New Roman" w:hAnsi="Arial" w:cs="Arial"/>
            <w:color w:val="2E6E9E"/>
            <w:sz w:val="15"/>
            <w:szCs w:val="15"/>
            <w:u w:val="single"/>
          </w:rPr>
          <w:t>Copyright</w:t>
        </w:r>
      </w:hyperlink>
      <w:r w:rsidRPr="00196251">
        <w:rPr>
          <w:rFonts w:ascii="Arial" w:eastAsia="Times New Roman" w:hAnsi="Arial" w:cs="Arial"/>
          <w:color w:val="000000"/>
          <w:sz w:val="15"/>
          <w:szCs w:val="15"/>
        </w:rPr>
        <w:t> The Financial Times Limited 2015.</w:t>
      </w:r>
    </w:p>
    <w:p w:rsidR="00760FCA" w:rsidRDefault="00196251">
      <w:bookmarkStart w:id="0" w:name="_GoBack"/>
      <w:bookmarkEnd w:id="0"/>
    </w:p>
    <w:sectPr w:rsidR="00760FC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F71EB3"/>
    <w:multiLevelType w:val="multilevel"/>
    <w:tmpl w:val="CE066F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CC1FD9"/>
    <w:multiLevelType w:val="multilevel"/>
    <w:tmpl w:val="DDD83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690831"/>
    <w:multiLevelType w:val="multilevel"/>
    <w:tmpl w:val="D9FE6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8325F57"/>
    <w:multiLevelType w:val="multilevel"/>
    <w:tmpl w:val="A6FEF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9F2688"/>
    <w:multiLevelType w:val="multilevel"/>
    <w:tmpl w:val="BCB04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251"/>
    <w:rsid w:val="00196251"/>
    <w:rsid w:val="00725840"/>
    <w:rsid w:val="00AB6F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2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62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2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62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672432">
      <w:bodyDiv w:val="1"/>
      <w:marLeft w:val="0"/>
      <w:marRight w:val="0"/>
      <w:marTop w:val="0"/>
      <w:marBottom w:val="0"/>
      <w:divBdr>
        <w:top w:val="none" w:sz="0" w:space="0" w:color="auto"/>
        <w:left w:val="none" w:sz="0" w:space="0" w:color="auto"/>
        <w:bottom w:val="none" w:sz="0" w:space="0" w:color="auto"/>
        <w:right w:val="none" w:sz="0" w:space="0" w:color="auto"/>
      </w:divBdr>
      <w:divsChild>
        <w:div w:id="1615139068">
          <w:marLeft w:val="0"/>
          <w:marRight w:val="0"/>
          <w:marTop w:val="0"/>
          <w:marBottom w:val="0"/>
          <w:divBdr>
            <w:top w:val="none" w:sz="0" w:space="0" w:color="auto"/>
            <w:left w:val="none" w:sz="0" w:space="0" w:color="auto"/>
            <w:bottom w:val="none" w:sz="0" w:space="0" w:color="auto"/>
            <w:right w:val="none" w:sz="0" w:space="0" w:color="auto"/>
          </w:divBdr>
        </w:div>
        <w:div w:id="252396617">
          <w:marLeft w:val="0"/>
          <w:marRight w:val="0"/>
          <w:marTop w:val="0"/>
          <w:marBottom w:val="0"/>
          <w:divBdr>
            <w:top w:val="none" w:sz="0" w:space="0" w:color="auto"/>
            <w:left w:val="none" w:sz="0" w:space="0" w:color="auto"/>
            <w:bottom w:val="none" w:sz="0" w:space="0" w:color="auto"/>
            <w:right w:val="none" w:sz="0" w:space="0" w:color="auto"/>
          </w:divBdr>
          <w:divsChild>
            <w:div w:id="1738674564">
              <w:marLeft w:val="0"/>
              <w:marRight w:val="0"/>
              <w:marTop w:val="0"/>
              <w:marBottom w:val="0"/>
              <w:divBdr>
                <w:top w:val="none" w:sz="0" w:space="0" w:color="auto"/>
                <w:left w:val="none" w:sz="0" w:space="0" w:color="auto"/>
                <w:bottom w:val="none" w:sz="0" w:space="0" w:color="auto"/>
                <w:right w:val="none" w:sz="0" w:space="0" w:color="auto"/>
              </w:divBdr>
              <w:divsChild>
                <w:div w:id="20585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741496">
          <w:marLeft w:val="0"/>
          <w:marRight w:val="0"/>
          <w:marTop w:val="150"/>
          <w:marBottom w:val="0"/>
          <w:divBdr>
            <w:top w:val="none" w:sz="0" w:space="0" w:color="auto"/>
            <w:left w:val="none" w:sz="0" w:space="0" w:color="auto"/>
            <w:bottom w:val="none" w:sz="0" w:space="0" w:color="auto"/>
            <w:right w:val="none" w:sz="0" w:space="0" w:color="auto"/>
          </w:divBdr>
          <w:divsChild>
            <w:div w:id="685131628">
              <w:marLeft w:val="0"/>
              <w:marRight w:val="0"/>
              <w:marTop w:val="0"/>
              <w:marBottom w:val="0"/>
              <w:divBdr>
                <w:top w:val="none" w:sz="0" w:space="0" w:color="auto"/>
                <w:left w:val="none" w:sz="0" w:space="0" w:color="auto"/>
                <w:bottom w:val="none" w:sz="0" w:space="0" w:color="auto"/>
                <w:right w:val="none" w:sz="0" w:space="0" w:color="auto"/>
              </w:divBdr>
              <w:divsChild>
                <w:div w:id="1373504615">
                  <w:marLeft w:val="0"/>
                  <w:marRight w:val="180"/>
                  <w:marTop w:val="75"/>
                  <w:marBottom w:val="0"/>
                  <w:divBdr>
                    <w:top w:val="none" w:sz="0" w:space="0" w:color="auto"/>
                    <w:left w:val="none" w:sz="0" w:space="0" w:color="auto"/>
                    <w:bottom w:val="none" w:sz="0" w:space="0" w:color="auto"/>
                    <w:right w:val="none" w:sz="0" w:space="0" w:color="auto"/>
                  </w:divBdr>
                </w:div>
                <w:div w:id="1558203806">
                  <w:marLeft w:val="0"/>
                  <w:marRight w:val="360"/>
                  <w:marTop w:val="75"/>
                  <w:marBottom w:val="0"/>
                  <w:divBdr>
                    <w:top w:val="none" w:sz="0" w:space="0" w:color="auto"/>
                    <w:left w:val="none" w:sz="0" w:space="0" w:color="auto"/>
                    <w:bottom w:val="none" w:sz="0" w:space="0" w:color="auto"/>
                    <w:right w:val="none" w:sz="0" w:space="0" w:color="auto"/>
                  </w:divBdr>
                </w:div>
                <w:div w:id="471487768">
                  <w:marLeft w:val="0"/>
                  <w:marRight w:val="360"/>
                  <w:marTop w:val="75"/>
                  <w:marBottom w:val="0"/>
                  <w:divBdr>
                    <w:top w:val="none" w:sz="0" w:space="0" w:color="auto"/>
                    <w:left w:val="none" w:sz="0" w:space="0" w:color="auto"/>
                    <w:bottom w:val="none" w:sz="0" w:space="0" w:color="auto"/>
                    <w:right w:val="none" w:sz="0" w:space="0" w:color="auto"/>
                  </w:divBdr>
                  <w:divsChild>
                    <w:div w:id="1792552236">
                      <w:marLeft w:val="0"/>
                      <w:marRight w:val="360"/>
                      <w:marTop w:val="75"/>
                      <w:marBottom w:val="0"/>
                      <w:divBdr>
                        <w:top w:val="none" w:sz="0" w:space="0" w:color="auto"/>
                        <w:left w:val="none" w:sz="0" w:space="0" w:color="auto"/>
                        <w:bottom w:val="none" w:sz="0" w:space="0" w:color="auto"/>
                        <w:right w:val="none" w:sz="0" w:space="0" w:color="auto"/>
                      </w:divBdr>
                      <w:divsChild>
                        <w:div w:id="1192690388">
                          <w:marLeft w:val="0"/>
                          <w:marRight w:val="0"/>
                          <w:marTop w:val="0"/>
                          <w:marBottom w:val="0"/>
                          <w:divBdr>
                            <w:top w:val="single" w:sz="12" w:space="0" w:color="A7A59B"/>
                            <w:left w:val="none" w:sz="0" w:space="0" w:color="auto"/>
                            <w:bottom w:val="none" w:sz="0" w:space="0" w:color="auto"/>
                            <w:right w:val="none" w:sz="0" w:space="0" w:color="auto"/>
                          </w:divBdr>
                        </w:div>
                      </w:divsChild>
                    </w:div>
                    <w:div w:id="690225393">
                      <w:marLeft w:val="0"/>
                      <w:marRight w:val="360"/>
                      <w:marTop w:val="75"/>
                      <w:marBottom w:val="75"/>
                      <w:divBdr>
                        <w:top w:val="single" w:sz="48" w:space="4" w:color="E9DECF"/>
                        <w:left w:val="none" w:sz="0" w:space="0" w:color="auto"/>
                        <w:bottom w:val="none" w:sz="0" w:space="0" w:color="auto"/>
                        <w:right w:val="none" w:sz="0" w:space="0" w:color="auto"/>
                      </w:divBdr>
                      <w:divsChild>
                        <w:div w:id="39416429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34481872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tsales.support@ft.com" TargetMode="External"/><Relationship Id="rId13" Type="http://schemas.openxmlformats.org/officeDocument/2006/relationships/hyperlink" Target="http://www.ft.com/intl/cms/s/0/fc8c8ade-21d2-11e5-aa5a-398b2169cf79.html" TargetMode="External"/><Relationship Id="rId18" Type="http://schemas.openxmlformats.org/officeDocument/2006/relationships/hyperlink" Target="http://www.ft.com/cms/s/0/b86fe6b4-1ec3-11e5-aa5a-398b2169cf79.html" TargetMode="External"/><Relationship Id="rId26" Type="http://schemas.openxmlformats.org/officeDocument/2006/relationships/image" Target="media/image2.jpeg"/><Relationship Id="rId3" Type="http://schemas.microsoft.com/office/2007/relationships/stylesWithEffects" Target="stylesWithEffects.xml"/><Relationship Id="rId21" Type="http://schemas.openxmlformats.org/officeDocument/2006/relationships/hyperlink" Target="http://www.ft.com/cms/s/0/f9cf4c68-2179-11e5-aa5a-398b2169cf79.html" TargetMode="External"/><Relationship Id="rId34" Type="http://schemas.openxmlformats.org/officeDocument/2006/relationships/theme" Target="theme/theme1.xml"/><Relationship Id="rId7" Type="http://schemas.openxmlformats.org/officeDocument/2006/relationships/hyperlink" Target="http://www.ft.com/servicestools/help/copyright" TargetMode="External"/><Relationship Id="rId12" Type="http://schemas.openxmlformats.org/officeDocument/2006/relationships/hyperlink" Target="https://registration.ft.com/registration/barrier?location=http%3A%2F%2Fwww.ft.com%2Fintl%2Fcms%2Fs%2F0%2Ffc8c8ade-21d2-11e5-aa5a-398b2169cf79.html%23showclipthis-http%3A%2F%2Fwww.ft.com%2Fcms%2Fs%2F0%2Ffc8c8ade-21d2-11e5-aa5a-398b2169cf79.html" TargetMode="External"/><Relationship Id="rId17" Type="http://schemas.openxmlformats.org/officeDocument/2006/relationships/hyperlink" Target="http://www.ft.com/cms/s/0/3c937964-20d7-11e5-aa5a-398b2169cf79.html" TargetMode="External"/><Relationship Id="rId25" Type="http://schemas.openxmlformats.org/officeDocument/2006/relationships/hyperlink" Target="http://www.ft.com/nbe"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t.com/intl/cms/s/0/de36a8e4-e895-11e2-8e9e-00144feabdc0.htmlaxzz3es4TYuE6" TargetMode="External"/><Relationship Id="rId20" Type="http://schemas.openxmlformats.org/officeDocument/2006/relationships/hyperlink" Target="http://www.ft.com/cms/s/0/65adbe2e-2193-11e5-ab0f-6bb9974f25d0.html" TargetMode="External"/><Relationship Id="rId29" Type="http://schemas.openxmlformats.org/officeDocument/2006/relationships/hyperlink" Target="http://www.ft.com/intl/cms/s/0/fc43ddc6-f94f-11e4-be7b-00144feab7de.htmlslide0" TargetMode="External"/><Relationship Id="rId1" Type="http://schemas.openxmlformats.org/officeDocument/2006/relationships/numbering" Target="numbering.xml"/><Relationship Id="rId6" Type="http://schemas.openxmlformats.org/officeDocument/2006/relationships/hyperlink" Target="http://www.ft.com/servicestools/help/terms" TargetMode="External"/><Relationship Id="rId11" Type="http://schemas.openxmlformats.org/officeDocument/2006/relationships/hyperlink" Target="http://www.ft.com/intl/cms/s/0/fc8c8ade-21d2-11e5-aa5a-398b2169cf79.html" TargetMode="External"/><Relationship Id="rId24" Type="http://schemas.openxmlformats.org/officeDocument/2006/relationships/hyperlink" Target="http://www.ft.com/nbe?firstft=Y" TargetMode="External"/><Relationship Id="rId32" Type="http://schemas.openxmlformats.org/officeDocument/2006/relationships/hyperlink" Target="http://www.ft.com/servicestools/help/copyright" TargetMode="External"/><Relationship Id="rId5" Type="http://schemas.openxmlformats.org/officeDocument/2006/relationships/webSettings" Target="webSettings.xml"/><Relationship Id="rId15" Type="http://schemas.openxmlformats.org/officeDocument/2006/relationships/hyperlink" Target="http://www.ft.com/servicestools/terms/reuters" TargetMode="External"/><Relationship Id="rId23" Type="http://schemas.openxmlformats.org/officeDocument/2006/relationships/hyperlink" Target="http://www.ft.com/cms/s/0/6c356446-20bb-11e5-ab0f-6bb9974f25d0.html" TargetMode="External"/><Relationship Id="rId28" Type="http://schemas.openxmlformats.org/officeDocument/2006/relationships/hyperlink" Target="http://www.ft.com/intl/cms/s/0/f3f5ae92-1e75-11e5-aa5a-398b2169cf79.htmlaxzz3es4TYuE6" TargetMode="External"/><Relationship Id="rId10" Type="http://schemas.openxmlformats.org/officeDocument/2006/relationships/hyperlink" Target="http://www.ft.com/intl/cms/s/0/fc8c8ade-21d2-11e5-aa5a-398b2169cf79.html" TargetMode="External"/><Relationship Id="rId19" Type="http://schemas.openxmlformats.org/officeDocument/2006/relationships/hyperlink" Target="http://www.ft.com/cms/s/0/f3f5ae92-1e75-11e5-aa5a-398b2169cf79.html" TargetMode="External"/><Relationship Id="rId31" Type="http://schemas.openxmlformats.org/officeDocument/2006/relationships/hyperlink" Target="http://www.ft.com/topics/themes/Oil" TargetMode="External"/><Relationship Id="rId4" Type="http://schemas.openxmlformats.org/officeDocument/2006/relationships/settings" Target="settings.xml"/><Relationship Id="rId9" Type="http://schemas.openxmlformats.org/officeDocument/2006/relationships/hyperlink" Target="http://www.ft.com/cms/s/0/fc8c8ade-21d2-11e5-aa5a-398b2169cf79.html" TargetMode="External"/><Relationship Id="rId14" Type="http://schemas.openxmlformats.org/officeDocument/2006/relationships/image" Target="media/image1.jpeg"/><Relationship Id="rId22" Type="http://schemas.openxmlformats.org/officeDocument/2006/relationships/hyperlink" Target="http://www.ft.com/cms/s/0/134631ac-20d5-11e5-ab0f-6bb9974f25d0.html" TargetMode="External"/><Relationship Id="rId27" Type="http://schemas.openxmlformats.org/officeDocument/2006/relationships/hyperlink" Target="http://markets.ft.com/tearsheets/performance.asp?s=uk:RDSA" TargetMode="External"/><Relationship Id="rId30" Type="http://schemas.openxmlformats.org/officeDocument/2006/relationships/hyperlink" Target="http://www.ft.com/intl/cms/s/0/5ba1e982-3a68-11e3-9243-00144feab7de.htmlaxzz3eh5vrU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1083</Words>
  <Characters>6175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 Sponagle</dc:creator>
  <cp:lastModifiedBy>Evan Sponagle</cp:lastModifiedBy>
  <cp:revision>1</cp:revision>
  <dcterms:created xsi:type="dcterms:W3CDTF">2015-07-06T10:07:00Z</dcterms:created>
  <dcterms:modified xsi:type="dcterms:W3CDTF">2015-07-06T10:08:00Z</dcterms:modified>
</cp:coreProperties>
</file>